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86R1180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eminent domain reporting requirements for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2206.154,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not later than February 1 of each year, an entity described by Section 2206.151 shall submit to the comptroller a report containing records and other information specified by this subchapter for the purpose of providing the comptroller with information to maintain the eminent domain database under Section 2206.153. </w:t>
      </w:r>
      <w:r>
        <w:t xml:space="preserve"> </w:t>
      </w:r>
      <w:r>
        <w:t xml:space="preserve">The entity shall submit the report in a form and in the manner prescribed by the comptroller.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public school district located in a county with a population of less than 25,000 is required to file an annual report under Subsection (a) only if the district's eminent domain authority information has changed from the information reported in the most recent report filed by the district under this section.  If for the current annual reporting period the district's eminent domain authority information is the same as the information reflected for the district in the eminent domain database for the previous annual reporting period, the district, not later than February 1 of the current annual reporting period, shall confirm the accuracy of the information by electronically updating the district's previously filed report with the comptroller in the manner prescribed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