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86R1427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184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sales and use tax exemption for school supplies purchased by certain teachers for a limited period.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151, Tax Code, is amended by adding Section 151.3271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151.3271.</w:t>
      </w:r>
      <w:r>
        <w:rPr>
          <w:u w:val="single"/>
        </w:rPr>
        <w:t xml:space="preserve"> </w:t>
      </w:r>
      <w:r>
        <w:rPr>
          <w:u w:val="single"/>
        </w:rPr>
        <w:t xml:space="preserve"> </w:t>
      </w:r>
      <w:r>
        <w:rPr>
          <w:u w:val="single"/>
        </w:rPr>
        <w:t xml:space="preserve">SCHOOL SUPPLIES PURCHASED BY TEACHERS BEFORE START OF SCHOOL.  (a) </w:t>
      </w:r>
      <w:r>
        <w:rPr>
          <w:u w:val="single"/>
        </w:rPr>
        <w:t xml:space="preserve"> </w:t>
      </w:r>
      <w:r>
        <w:rPr>
          <w:u w:val="single"/>
        </w:rPr>
        <w:t xml:space="preserve">In this section, "school supply" has the meaning assigned by the Streamlined Sales and Use Tax Agreement adopted November 12, 2002, including all amendments made to the agreement on or before May 3, 2018.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sale or storage, use, or other consumption of a school supply is exempted from the taxes imposed by this chapter if the school supply is purchased: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a teacher employed by a public school district or open-enrollment charter school for use in that teacher's classroom, regardless of whether the teacher has been designated as an authorized agent of the district or school for purposes of Section 151.309;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the period beginning at 12:01 a.m. on the third Friday of July and ending at 11:59 p.m. on the following Sunday.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by rule shall provide a method for a retailer to determine a purchaser's eligibility for the exemption under this section. </w:t>
      </w:r>
      <w:r>
        <w:rPr>
          <w:u w:val="single"/>
        </w:rPr>
        <w:t xml:space="preserve"> </w:t>
      </w:r>
      <w:r>
        <w:rPr>
          <w:u w:val="single"/>
        </w:rPr>
        <w:t xml:space="preserve">A retailer is not required to obtain an exemption certificate from a purchaser determined eligible for the exemption as provided by comptroller rule unless the person purchases school supplies in a quantity that indicates that the school supplies are not purchased for use in a single teacher's classroom.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31, 2019, the comptroller shall adopt rules necessary to implement Section 151.3271, Tax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do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