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86R827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response to certain oil or gas well accidents by state agencies and responsible parties.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91, Natural Resources Code, is amended by adding Sections 91.118, 91.119, and 91.120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91.118.</w:t>
      </w:r>
      <w:r>
        <w:rPr>
          <w:u w:val="single"/>
        </w:rPr>
        <w:t xml:space="preserve"> </w:t>
      </w:r>
      <w:r>
        <w:rPr>
          <w:u w:val="single"/>
        </w:rPr>
        <w:t xml:space="preserve"> </w:t>
      </w:r>
      <w:r>
        <w:rPr>
          <w:u w:val="single"/>
        </w:rPr>
        <w:t xml:space="preserve">NOTICE TO COMMISSION OF WELL FIRE, LEAK, SPILL, OR BREAK. (a) An operator of an oil or gas well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give immediate notice of a fire, leak, spill, or break at the well to the appropriate commission oil and gas division district office;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to the commission a letter giving a full description of the event, including the volume of crude oil, gas, or other well liquids or gases lost.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limit the authority of the commission to require other types of notice from operators.</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91.119.</w:t>
      </w:r>
      <w:r>
        <w:rPr>
          <w:u w:val="single"/>
        </w:rPr>
        <w:t xml:space="preserve"> </w:t>
      </w:r>
      <w:r>
        <w:rPr>
          <w:u w:val="single"/>
        </w:rPr>
        <w:t xml:space="preserve"> </w:t>
      </w:r>
      <w:r>
        <w:rPr>
          <w:u w:val="single"/>
        </w:rPr>
        <w:t xml:space="preserve">WELL BLOWOUT EMERGENCY ALERT SYSTEM.  (a) In this section, "state emergency response commission" means the state emergency management council or other committee appointed by the governor in accordance with the Emergency Planning and Community Right-to-Know Act of 1986 (42 U.S.C. Section 11001 et seq.).</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and the Texas Commission on Environmental Quality shall jointly develop an emergency alert system to notify the public of the uncontrolled release from an oil or gas well of a substance that will substantially endanger human health or the environment.  The commission and the Texas Commission on Environmental Quality shall consult with the state emergency response commission in developing the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commission or the Texas Commission on Environmental Quality determines that an uncontrolled release of a substance from an oil or gas well will substantially endanger human health or the environment, that agency shall, not later than 30 minutes after making the determination, notify persons in the area in which the well is located of the release using the alert system.  When the agency determines a release is no longer a threat to human health or the environment, the agency shall notify persons using the alert system.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developing the alert system, the commission and the Texas Commission on Environmental Quality may use as a model the alert systems established by Subchapter L, Chapter 411, Government Code, and Section 51.854, Water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alert system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a person to register for a preferred method of receiving a message under the alert system and allow a person the option of not receiving the alerts;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notification through reverse 9-1-1 calls, text messages, e-mails, social media, and other instant messaging systems;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the state agency providing the notification to modify the notification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distance of the release to the person receiving the notification;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projected movement of the release.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alert issued by the alert system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area affected by the release, including a geographic display of the severity of the threat posed by the release;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link to an Internet website or other message system that maintains current information on each affected area;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link to an Internet website or other message system that describes a symptom of any illness caused by the release that may require emergency medical treatment;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chemicals involved in and toxicity of the release;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projected movement of the release;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instructions for protection from exposure to the release or for reducing exposure to the release.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91.120.</w:t>
      </w:r>
      <w:r>
        <w:rPr>
          <w:u w:val="single"/>
        </w:rPr>
        <w:t xml:space="preserve"> </w:t>
      </w:r>
      <w:r>
        <w:rPr>
          <w:u w:val="single"/>
        </w:rPr>
        <w:t xml:space="preserve"> </w:t>
      </w:r>
      <w:r>
        <w:rPr>
          <w:u w:val="single"/>
        </w:rPr>
        <w:t xml:space="preserve">APPLICATION FOR PERMIT FOR WELL ADJACENT TO WELL BLOWOUT SITE.  (a)  In the case of a conflict between this section and Section 91.114, this section controls.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(e), the commission may not approve an application for a permit to drill an oil or gas well if: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organization that submitted the application:</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violated a statute or commission rule, order, license, certificate, or permit that relates to safety or the prevention or control of pollution;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under investigation by a state or federal agency for an alleged violation of a statute or commission rule, order, license, certificate, or permit that relates to safety or the prevention or control of pollution;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violation or alleged violation described by Subdivision (1) relates to an uncontrolled release from an oil or gas well of a substance that substantially endangered human health or the environment;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well that is the subject of the application is proposed to be drilled at a site adjacent to the site of the violation or alleged violation described by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organization has committed a violation for purposes of Subsection (b)(1)(A) of this section if the circumstances described by Section 91.114(b) have been met with respect to the violation.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adopt rules if necessary to establish criteria for determining whether a site is adjacent to another site for the purposes of this section.</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may approve the application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conditions that constituted the violation have been corrected;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organization has paid all administrative, civil, and criminal penalties and all cleanup and plugging costs incurred by the state relating to those conditions;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application is in compliance with all other requirements of law and commission rules.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an application is rejected under this section, the commission shall provide the organization with a written statement explaining the reason for the rejection.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Subsection (b), the commission may issue a permit to drill an oil or gas well to an organization described by Subsection (b) for a term specified by the commission if the permit is necessary to remedy a violation of law or commission rules.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fee tendered in connection with an application that is rejected under this section is nonrefundable.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91.120, Natural Resources Code, as added by this Act, applies only to an application for a permit to drill an oil or gas well filed with the Railroad Commission of Texas on or after the effective date of this Act. An application for a permit filed before the effective date of this Act is governed by the law in effect on the date of filing,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