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14,</w:t>
      </w:r>
      <w:r xml:space="preserve">
        <w:t> </w:t>
      </w:r>
      <w:r>
        <w:t xml:space="preserve">2018; February</w:t>
      </w:r>
      <w:r xml:space="preserve">
        <w:t> </w:t>
      </w:r>
      <w:r>
        <w:t xml:space="preserve">1,</w:t>
      </w:r>
      <w:r xml:space="preserve">
        <w:t> </w:t>
      </w:r>
      <w:r>
        <w:t xml:space="preserve">2019, read first time and referred to Committee on Natural Resources &amp; Economic Development;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185</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response to certain oil or gas well accidents by state agencies and responsible parties.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91, Natural Resources Code, is amended by adding Sections 91.118 and 91.119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91.118.</w:t>
      </w:r>
      <w:r>
        <w:rPr>
          <w:u w:val="single"/>
        </w:rPr>
        <w:t xml:space="preserve"> </w:t>
      </w:r>
      <w:r>
        <w:rPr>
          <w:u w:val="single"/>
        </w:rPr>
        <w:t xml:space="preserve"> </w:t>
      </w:r>
      <w:r>
        <w:rPr>
          <w:u w:val="single"/>
        </w:rPr>
        <w:t xml:space="preserve">NOTICE TO COMMISSION OF WELL FIRE, LEAK, SPILL, OR BREAK. </w:t>
      </w:r>
      <w:r>
        <w:rPr>
          <w:u w:val="single"/>
        </w:rPr>
        <w:t xml:space="preserve"> </w:t>
      </w:r>
      <w:r>
        <w:rPr>
          <w:u w:val="single"/>
        </w:rPr>
        <w:t xml:space="preserve">(a)</w:t>
      </w:r>
      <w:r>
        <w:rPr>
          <w:u w:val="single"/>
        </w:rPr>
        <w:t xml:space="preserve"> </w:t>
      </w:r>
      <w:r>
        <w:rPr>
          <w:u w:val="single"/>
        </w:rPr>
        <w:t xml:space="preserve"> </w:t>
      </w:r>
      <w:r>
        <w:rPr>
          <w:u w:val="single"/>
        </w:rPr>
        <w:t xml:space="preserve">An operator of an oil or gas well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immediate notice of a fire, leak, spill, or break at the well to the appropriate commission oil and gas division district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commission a letter giving a full description of the event, including the volume of crude oil, gas, or other well liquids or gases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limit the authority of the commission to require other types of notice from operators.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91.119.</w:t>
      </w:r>
      <w:r>
        <w:rPr>
          <w:u w:val="single"/>
        </w:rPr>
        <w:t xml:space="preserve"> </w:t>
      </w:r>
      <w:r>
        <w:rPr>
          <w:u w:val="single"/>
        </w:rPr>
        <w:t xml:space="preserve"> </w:t>
      </w:r>
      <w:r>
        <w:rPr>
          <w:u w:val="single"/>
        </w:rPr>
        <w:t xml:space="preserve">APPLICATION FOR PERMIT FOR WELL ADJACENT TO WELL BLOWOUT SITE.  (a)</w:t>
      </w:r>
      <w:r>
        <w:rPr>
          <w:u w:val="single"/>
        </w:rPr>
        <w:t xml:space="preserve"> </w:t>
      </w:r>
      <w:r>
        <w:rPr>
          <w:u w:val="single"/>
        </w:rPr>
        <w:t xml:space="preserve"> </w:t>
      </w:r>
      <w:r>
        <w:rPr>
          <w:u w:val="single"/>
        </w:rPr>
        <w:t xml:space="preserve">In the case of a conflict between this section and Section 91.114, this section controls.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the commission may not approve an application for a permit to drill an oil or gas well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organization that submitted the application violated a statute or commission rule, order, license, certificate, or permit that relates to safety or the prevention or control of pollution or is under investigation by a state or federal agency for an alleged violation of a statute or commission rule, order, license, certificate, or permit that relates to safety or the prevention or control of pollution;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or alleged violation described by Subdivision (1) relates to an uncontrolled release from an oil or gas well of a substance that substantially endangered human health or the environment;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well that is the subject of the application is proposed to be drilled at a site adjacent to the site of the violation or alleged violation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organization has committed a violation for purposes of Subsection (b)(1) of this section if the circumstances described by Section 91.114(b) have been met with respect to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if necessary to establish criteria for determining whether a site is adjacent to another site for the purposes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approve the application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that constituted the violation have been corrected;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has paid all administrative, civil, and criminal penalties and all cleanup and plugging costs incurred by the state relating to those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is in compliance with all other requirements of law and commission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application is rejected under this section, the commission shall provide the organization with a written statement explaining the reason for the rejection.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 (b), the commission may issue a permit to drill an oil or gas well to an organization described by Subsection (b) for a term specified by the commission if the permit is necessary to remedy a violation of law or commission rules.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tendered in connection with an application that is rejected under this section is nonrefundable.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91.119, Natural Resources Code, as added by this Act, applies only to an application for a permit to drill an oil or gas well filed with the Railroad Commission of Texas on or after the effective date of this Act. </w:t>
      </w:r>
      <w:r>
        <w:t xml:space="preserve"> </w:t>
      </w:r>
      <w:r>
        <w:t xml:space="preserve">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