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daylight saving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312.016,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acting under the exemption provisions of Section 3(a), Uniform Time Act of 1966 (15 U.S.C. Section 260a(a)), is exempt from the provisions of that law that establish daylight saving time.  The exemption provided by this subsection applies to both the portion of the state using central standard time as the official standard time and the portion of the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November 4, 2019, to coincide with the end of daylight saving time for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