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 et al.</w:t>
      </w:r>
      <w:r xml:space="preserve">
        <w:tab wTab="150" tlc="none" cTlc="0"/>
      </w:r>
      <w:r>
        <w:t xml:space="preserve">S.B.</w:t>
      </w:r>
      <w:r xml:space="preserve">
        <w:t> </w:t>
      </w:r>
      <w:r>
        <w:t xml:space="preserve">No.</w:t>
      </w:r>
      <w:r xml:space="preserve">
        <w:t> </w:t>
      </w:r>
      <w:r>
        <w:t xml:space="preserve">196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 of the surviving spouse of a member of the armed services of the United States who is killed or fatally injured in the line of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11.133, Tax Code, is amended to read as follows:</w:t>
      </w:r>
    </w:p>
    <w:p w:rsidR="003F3435" w:rsidRDefault="0032493E">
      <w:pPr>
        <w:spacing w:line="480" w:lineRule="auto"/>
        <w:ind w:firstLine="720"/>
        <w:jc w:val="both"/>
      </w:pPr>
      <w:r>
        <w:t xml:space="preserve">Sec.</w:t>
      </w:r>
      <w:r xml:space="preserve">
        <w:t> </w:t>
      </w:r>
      <w:r>
        <w:t xml:space="preserve">11.133.</w:t>
      </w:r>
      <w:r xml:space="preserve">
        <w:t> </w:t>
      </w:r>
      <w:r xml:space="preserve">
        <w:t> </w:t>
      </w:r>
      <w:r>
        <w:t xml:space="preserve">RESIDENCE HOMESTEAD OF SURVIVING SPOUSE OF MEMBER OF ARMED SERVICES KILLED IN </w:t>
      </w:r>
      <w:r>
        <w:rPr>
          <w:u w:val="single"/>
        </w:rPr>
        <w:t xml:space="preserve">LINE OF DUTY</w:t>
      </w:r>
      <w:r>
        <w:t xml:space="preserve"> </w:t>
      </w:r>
      <w:r>
        <w:t xml:space="preserve">[</w:t>
      </w:r>
      <w:r>
        <w:rPr>
          <w:strike/>
        </w:rPr>
        <w:t xml:space="preserve">ACTION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11.133(b), Tax Code, is amended to read as follows:</w:t>
      </w:r>
    </w:p>
    <w:p w:rsidR="003F3435" w:rsidRDefault="0032493E">
      <w:pPr>
        <w:spacing w:line="480" w:lineRule="auto"/>
        <w:ind w:firstLine="720"/>
        <w:jc w:val="both"/>
      </w:pPr>
      <w:r>
        <w:t xml:space="preserve">(b)</w:t>
      </w:r>
      <w:r xml:space="preserve">
        <w:t> </w:t>
      </w:r>
      <w:r xml:space="preserve">
        <w:t> </w:t>
      </w:r>
      <w:r>
        <w:t xml:space="preserve">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is entitled to an exemption from taxation of the total appraised value of the surviving spouse's residence homestead if the surviving spouse has not remarried since the death of the member of the armed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w:t>
      </w:r>
      <w:r>
        <w:rPr>
          <w:u w:val="single"/>
        </w:rPr>
        <w:t xml:space="preserve">or fatally injured in the line of duty</w:t>
      </w:r>
      <w:r>
        <w:t xml:space="preserve"> [</w:t>
      </w:r>
      <w:r>
        <w:rPr>
          <w:strike/>
        </w:rPr>
        <w:t xml:space="preserve">in action</w:t>
      </w:r>
      <w:r>
        <w:t xml:space="preserve">], or an exemption under Section 11.134 for the residence homestead of the surviving spouse of a first responder who is killed or fatally injured in the line of duty,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11.133, Tax Code, as amended by this Act, applies only to a tax year beginning on or after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 of the surviving spouse of a member of the armed services of the United States who is killed or fatally injured in the line of duty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