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11.133, Tax Code, is amended to read as follows:</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RESIDENCE HOMESTEAD OF SURVIVING SPOUSE OF MEMBER OF ARMED SERVICES KILLED IN </w:t>
      </w:r>
      <w:r>
        <w:rPr>
          <w:u w:val="single"/>
        </w:rPr>
        <w:t xml:space="preserve">LINE OF DUTY</w:t>
      </w:r>
      <w:r>
        <w:t xml:space="preserve"> </w:t>
      </w:r>
      <w:r>
        <w:t xml:space="preserve">[</w:t>
      </w:r>
      <w:r>
        <w:rPr>
          <w:strike/>
        </w:rPr>
        <w:t xml:space="preserve">ACTION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11.133(b),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taxation of the total appraised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or an exemption under Section 11.134 for the residence homestead of the surviving spouse of a first responder who is killed or fatally injured in the line of duty,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11.133, Tax Code, as amended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an exemption from ad valorem taxation of all or part of the market value of the residence homestead of the surviving spouse of a member of the armed services of the United States who is killed or fatally injured in the line of duty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