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Kolkhorst</w:t>
      </w:r>
      <w:r xml:space="preserve">
        <w:tab wTab="150" tlc="none" cTlc="0"/>
      </w:r>
      <w:r>
        <w:t xml:space="preserve">S.B.</w:t>
      </w:r>
      <w:r xml:space="preserve">
        <w:t> </w:t>
      </w:r>
      <w:r>
        <w:t xml:space="preserve">No.</w:t>
      </w:r>
      <w:r xml:space="preserve">
        <w:t> </w:t>
      </w:r>
      <w:r>
        <w:t xml:space="preserve">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for the use of a highway toll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228.057,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provide electronic toll collection customers with an option to authorize automatic payment of tolls through the withdrawal of funds from the customer's bank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372, Transportation Code, is amended by adding Sections 372.054, 372.055, and 372.056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DETERMINATION OF ELECTRONIC TOLL COLLECTION CUSTOMER ACCOUNT BEFORE PAYMENT SOLICITATION.  (a)  A toll project entity may not send an invoice or a notice of unpaid tolls to the registered owner of a vehicle soliciting payment of a toll or any related administrative fee unless the entity first determines whether there is an active electronic toll collection customer account that corresponds to a transponder issued for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toll project entity determines under Subsection (a) that there is a sufficiently funded electronic toll collection customer account that corresponds to a transponder issued for the vehicle, the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satisfy the outstanding toll from the account at the standard electronic collection rate and may not collect any administrative fees or late fees;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entity determines that a transponder issued to an electronic toll collection customer did not work correctly more than 10 times in a 30-day period, send to the customer a notice informing the customer that the transponder issued for the customer's vehicle may not be working correctly.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372.055.</w:t>
      </w:r>
      <w:r>
        <w:rPr>
          <w:u w:val="single"/>
        </w:rPr>
        <w:t xml:space="preserve"> </w:t>
      </w:r>
      <w:r>
        <w:rPr>
          <w:u w:val="single"/>
        </w:rPr>
        <w:t xml:space="preserve"> </w:t>
      </w:r>
      <w:r>
        <w:rPr>
          <w:u w:val="single"/>
        </w:rPr>
        <w:t xml:space="preserve">INFORMATION REQUIRED ON NOTICE OR INVOICE.  A notice or an invoice of unpaid tolls sent by a toll project entity under Section 372.054 or any other section must clearly state that the document is a bill and the recipient is expected to pay the amount indicated.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372.056.</w:t>
      </w:r>
      <w:r>
        <w:rPr>
          <w:u w:val="single"/>
        </w:rPr>
        <w:t xml:space="preserve"> </w:t>
      </w:r>
      <w:r>
        <w:rPr>
          <w:u w:val="single"/>
        </w:rPr>
        <w:t xml:space="preserve"> </w:t>
      </w:r>
      <w:r>
        <w:rPr>
          <w:u w:val="single"/>
        </w:rPr>
        <w:t xml:space="preserve">METHOD OF SENDING INVOICE OR NOTICE. </w:t>
      </w:r>
      <w:r>
        <w:rPr>
          <w:u w:val="single"/>
        </w:rPr>
        <w:t xml:space="preserve"> </w:t>
      </w:r>
      <w:r>
        <w:rPr>
          <w:u w:val="single"/>
        </w:rPr>
        <w:t xml:space="preserve">An invoice or notice provided to a person by a toll project entity under this subchapter may be provided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class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e-mail if the person has provided an e-mail address to the entity and has elected to receive notice electronically.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