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financial self-sufficiency of the Cancer Prevention and Research Institute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102, Health and Safety Code, is amended by adding Section 102.005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102.005.</w:t>
      </w:r>
      <w:r>
        <w:rPr>
          <w:u w:val="single"/>
        </w:rPr>
        <w:t xml:space="preserve"> </w:t>
      </w:r>
      <w:r>
        <w:rPr>
          <w:u w:val="single"/>
        </w:rPr>
        <w:t xml:space="preserve"> </w:t>
      </w:r>
      <w:r>
        <w:rPr>
          <w:u w:val="single"/>
        </w:rPr>
        <w:t xml:space="preserve">FINANCIAL SELF-SUFFICIENCY PLAN.  (a)</w:t>
      </w:r>
      <w:r>
        <w:rPr>
          <w:u w:val="single"/>
        </w:rPr>
        <w:t xml:space="preserve"> </w:t>
      </w:r>
      <w:r>
        <w:rPr>
          <w:u w:val="single"/>
        </w:rPr>
        <w:t xml:space="preserve"> </w:t>
      </w:r>
      <w:r>
        <w:rPr>
          <w:u w:val="single"/>
        </w:rPr>
        <w:t xml:space="preserve">The institute shall develop a detailed plan for the institute to become financially self-sufficient and to continue operations without state funds other than patent royalties and license revenues realized as a result of projects undertaken with money awarded under Subchapter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steps the institute will take to accomplish the transition to financial self-sufficiency after issuance of the $3 billion in general obligation bonds authorized by Section 67,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sources of funding other than state money that may be used to operate the institute after issuance of the $3 billion in general obligation bonds authorized by Section 67, Article III,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institute's method for structuring each state-funded grant to ensure that a grant recipient completes any contractual obligation for which the grant was awarded after all of the $3 billion in general obligation bonds authorized by Section 67, Article III, Texas Constitution, is awarded to reimburse grant recipients for allowable expenditures pursuant to the institute's grant contract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submit the plan described by Subsection (a) to the legislature not later than December 1, 2020.  The institute shall submit any modification to the plan before December 1 of each subsequent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