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86R3055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information from the lists of noncitizens excused or disqualified from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Section 62.113, Government Code, to the statewide computerized voter registration list. If the secretary determines that a voter on the registration list is deceased or has been excused or disqualified from jury service because the voter is not a citizen,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62.113, Government Code, is amended to read as follows:</w:t>
      </w:r>
    </w:p>
    <w:p w:rsidR="003F3435" w:rsidRDefault="0032493E">
      <w:pPr>
        <w:spacing w:line="480" w:lineRule="auto"/>
        <w:ind w:firstLine="720"/>
        <w:jc w:val="both"/>
      </w:pPr>
      <w:r>
        <w:t xml:space="preserve">Sec.</w:t>
      </w:r>
      <w:r xml:space="preserve">
        <w:t> </w:t>
      </w:r>
      <w:r>
        <w:t xml:space="preserve">62.113.</w:t>
      </w:r>
      <w:r xml:space="preserve">
        <w:t> </w:t>
      </w:r>
      <w:r xml:space="preserve">
        <w:t> </w:t>
      </w:r>
      <w:r>
        <w:t xml:space="preserve">COMPILATION OF LIST OF NONCITIZENS.  (a)  The clerk of the court shall maintain a list of the name and address of each person who is excused or disqualified under this subchapter from jury service because the person is not a citizen of the United States.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t xml:space="preserve">the secretary of state; and</w:t>
      </w:r>
    </w:p>
    <w:p w:rsidR="003F3435" w:rsidRDefault="0032493E">
      <w:pPr>
        <w:spacing w:line="480" w:lineRule="auto"/>
        <w:ind w:firstLine="1440"/>
        <w:jc w:val="both"/>
      </w:pPr>
      <w:r>
        <w:t xml:space="preserve">(3)</w:t>
      </w:r>
      <w:r xml:space="preserve">
        <w:t> </w:t>
      </w:r>
      <w:r xml:space="preserve">
        <w:t> </w:t>
      </w:r>
      <w:r>
        <w:t xml:space="preserve">the county or district attorney, as applicable, </w:t>
      </w:r>
      <w:r>
        <w:rPr>
          <w:u w:val="single"/>
        </w:rPr>
        <w:t xml:space="preserve">or attorney general</w:t>
      </w:r>
      <w:r>
        <w:t xml:space="preserve"> </w:t>
      </w:r>
      <w:r>
        <w:t xml:space="preserve">for an investigation of whether the person committed an offense under Section 13.007, Election Code, or other law.</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list compiled under this section may not be used for a purpose other than a purpose described by Subsection (b) or Section 16.0332 or 18.068, Election Code.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person commits an offense if the person violates Subsection (c).  An offense under this section is a Class C misdemeanor.</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information required to be filed with the secretary of state under this section must be filed electronically. </w:t>
      </w:r>
      <w:r>
        <w:t xml:space="preserve"> </w:t>
      </w:r>
      <w:r>
        <w:t xml:space="preserve">The secretary of state may waive this requirement on application for a waiver submitted by the clerk.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