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86R1395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school district or open-enrollment charter school to employ or provide chaplains.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CHAPLAINS.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or open-enrollment charter school may employ chaplains or provide volunteer chaplains at district or school campuses to assist: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district or school students, parents, teachers, staff, and administrators with stress management;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counselors or social workers with performing their assigned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chaplain who is employed by or serves as a volunteer at a school district or open-enrollment charter school under this section is immune from civil liability to the same extent as a professional employee of a school district under Subchapter B, Chapter 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