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30,</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w:t>
      </w:r>
      <w:r>
        <w:rPr>
          <w:u w:val="single"/>
        </w:rPr>
        <w:t xml:space="preserve"> </w:t>
      </w:r>
      <w:r>
        <w:rPr>
          <w:u w:val="single"/>
        </w:rPr>
        <w:t xml:space="preserve">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w:t>
      </w:r>
      <w:r>
        <w:rPr>
          <w:u w:val="single"/>
        </w:rPr>
        <w:t xml:space="preserve"> </w:t>
      </w:r>
      <w:r>
        <w:rPr>
          <w:u w:val="single"/>
        </w:rPr>
        <w:t xml:space="preserve">(a)</w:t>
      </w:r>
      <w:r>
        <w:rPr>
          <w:u w:val="single"/>
        </w:rPr>
        <w:t xml:space="preserve"> </w:t>
      </w:r>
      <w:r>
        <w:rPr>
          <w:u w:val="single"/>
        </w:rPr>
        <w:t xml:space="preserve"> </w:t>
      </w:r>
      <w:r>
        <w:rPr>
          <w:u w:val="single"/>
        </w:rPr>
        <w:t xml:space="preserve">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w:t>
      </w:r>
      <w:r>
        <w:rPr>
          <w:u w:val="single"/>
        </w:rPr>
        <w:t xml:space="preserve"> </w:t>
      </w:r>
      <w:r>
        <w:rPr>
          <w:u w:val="single"/>
        </w:rPr>
        <w:t xml:space="preserve">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incident in which the person was a victim of sexual harassment, sexual assault, dating violence, or stalking;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w:t>
      </w:r>
      <w:r>
        <w:rPr>
          <w:u w:val="single"/>
        </w:rPr>
        <w:t xml:space="preserve"> </w:t>
      </w:r>
      <w:r>
        <w:rPr>
          <w:u w:val="single"/>
        </w:rPr>
        <w:t xml:space="preserve"> </w:t>
      </w:r>
      <w:r>
        <w:rPr>
          <w:u w:val="single"/>
        </w:rPr>
        <w:t xml:space="preserve">Not less than once every three months,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w:t>
      </w:r>
      <w:r>
        <w:rPr>
          <w:u w:val="single"/>
        </w:rPr>
        <w:t xml:space="preserve"> </w:t>
      </w:r>
      <w:r>
        <w:rPr>
          <w:u w:val="single"/>
        </w:rPr>
        <w:t xml:space="preserve">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w:t>
      </w:r>
      <w:r>
        <w:rPr>
          <w:u w:val="single"/>
        </w:rPr>
        <w:t xml:space="preserve"> </w:t>
      </w:r>
      <w:r>
        <w:rPr>
          <w:u w:val="single"/>
        </w:rPr>
        <w:t xml:space="preserve">(a)</w:t>
      </w:r>
      <w:r>
        <w:rPr>
          <w:u w:val="single"/>
        </w:rPr>
        <w:t xml:space="preserve">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w:t>
      </w:r>
      <w:r>
        <w:rPr>
          <w:u w:val="single"/>
        </w:rPr>
        <w:t xml:space="preserve"> </w:t>
      </w:r>
      <w:r>
        <w:rPr>
          <w:u w:val="single"/>
        </w:rPr>
        <w:t xml:space="preserve">(a)</w:t>
      </w:r>
      <w:r>
        <w:rPr>
          <w:u w:val="single"/>
        </w:rPr>
        <w:t xml:space="preserve">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employees of the postsecondary educational institution to which the report is made who are necessary to conduct an investigation of the report or any related hearings;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prohibiting a victim from making a report to a law enforcement agency using the pseudonym form described by Article 57.02,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w:t>
      </w:r>
      <w:r>
        <w:rPr>
          <w:u w:val="single"/>
        </w:rPr>
        <w:t xml:space="preserve">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w:t>
      </w:r>
      <w:r>
        <w:rPr>
          <w:u w:val="single"/>
        </w:rPr>
        <w:t xml:space="preserve">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r>
        <w:rPr>
          <w:u w:val="single"/>
        </w:rPr>
        <w:t xml:space="preserve"> </w:t>
      </w:r>
      <w:r>
        <w:rPr>
          <w:u w:val="single"/>
        </w:rPr>
        <w:t xml:space="preserve">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members who are a chief executive officer of a postsecondary educational institution or a representative designated by that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an advocacy organization for victims of sexual assault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 </w:t>
      </w:r>
      <w:r>
        <w:t xml:space="preserve"> </w:t>
      </w:r>
      <w:r>
        <w:t xml:space="preserve">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 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51.255(a), Education Code, as added by 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