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214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the economic stabilization fund, including the rates of severance taxes on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201.052, Tax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 the</w:t>
      </w:r>
      <w:r>
        <w:t xml:space="preserve"> </w:t>
      </w:r>
      <w:r>
        <w:t xml:space="preserve">[</w:t>
      </w:r>
      <w:r>
        <w:rPr>
          <w:strike/>
        </w:rPr>
        <w:t xml:space="preserve">The</w:t>
      </w:r>
      <w:r>
        <w:t xml:space="preserve">] tax imposed by this chapter is at the rate of 7.5 percent of the market value of gas produced and saved in this state by the producer.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tax on gas production described by Subsection (a) is subject to Section 49-g(c-6),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202.052, Tax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the</w:t>
      </w:r>
      <w:r>
        <w:t xml:space="preserve"> </w:t>
      </w:r>
      <w:r>
        <w:t xml:space="preserve">[</w:t>
      </w:r>
      <w:r>
        <w:rPr>
          <w:strike/>
        </w:rPr>
        <w:t xml:space="preserve">The</w:t>
      </w:r>
      <w:r>
        <w:t xml:space="preserve">] tax imposed by this chapter is at the rate of 4.6 percent of the market value of oil produced in this state or 4.6 cents for each barrel of 42 standard gallons of oil produced in this state, whichever rate results in the greater amount of tax.</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for</w:t>
      </w:r>
      <w:r>
        <w:t xml:space="preserve"> </w:t>
      </w:r>
      <w:r>
        <w:t xml:space="preserve">[</w:t>
      </w:r>
      <w:r>
        <w:rPr>
          <w:strike/>
        </w:rPr>
        <w:t xml:space="preserve">For</w:t>
      </w:r>
      <w:r>
        <w:t xml:space="preserve">] oil produced in this state from a new or expanded enhanced recovery project that qualifies under Section 202.054 of this code, the rate of the tax imposed by this chapter is 2.3 percent of the market value of the oil.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rates of tax on oil production described by Subsections (a) and (b) are subject to Section 49-g(c-5), Article III, Texas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both"/>
      </w:pPr>
      <w:r>
        <w:t xml:space="preserve">SUBCHAPTER</w:t>
      </w:r>
      <w:r xml:space="preserve">
        <w:t> </w:t>
      </w:r>
      <w:r>
        <w:t xml:space="preserve">H.</w:t>
      </w:r>
      <w:r xml:space="preserve">
        <w:t> </w:t>
      </w:r>
      <w:r xml:space="preserve">
        <w:t> </w:t>
      </w:r>
      <w:r>
        <w:rPr>
          <w:u w:val="single"/>
        </w:rPr>
        <w:t xml:space="preserve">STATE HIGHWAY</w:t>
      </w:r>
      <w:r>
        <w:t xml:space="preserve"> </w:t>
      </w:r>
      <w:r>
        <w:t xml:space="preserve">[</w:t>
      </w:r>
      <w:r>
        <w:rPr>
          <w:strike/>
        </w:rPr>
        <w:t xml:space="preserve">PRESERVATION OF SUFFICIENT BALANCE</w:t>
      </w:r>
    </w:p>
    <w:p w:rsidR="003F3435" w:rsidRDefault="0032493E">
      <w:pPr>
        <w:spacing w:line="480" w:lineRule="auto"/>
        <w:ind w:firstLine="2160"/>
        <w:jc w:val="both"/>
      </w:pPr>
      <w:r>
        <w:rPr>
          <w:strike/>
        </w:rPr>
        <w:t xml:space="preserve">IN ECONOMIC STABILIZATION</w:t>
      </w:r>
      <w:r>
        <w:t xml:space="preserv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404.0241(c),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shall include the fair market value of the investment portfolio of the economic stabilization fund in calculating the amount in the fund for purposes of Section 49-g(g), Article III, Texas Constitution[</w:t>
      </w:r>
      <w:r>
        <w:rPr>
          <w:strike/>
        </w:rPr>
        <w:t xml:space="preserve">, and Section 316.093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316.091, 316.092, and 316.093; and</w:t>
      </w:r>
    </w:p>
    <w:p w:rsidR="003F3435" w:rsidRDefault="0032493E">
      <w:pPr>
        <w:spacing w:line="480" w:lineRule="auto"/>
        <w:ind w:firstLine="1440"/>
        <w:jc w:val="both"/>
      </w:pPr>
      <w:r>
        <w:t xml:space="preserve">(2)</w:t>
      </w:r>
      <w:r xml:space="preserve">
        <w:t> </w:t>
      </w:r>
      <w:r xml:space="preserve">
        <w:t> </w:t>
      </w:r>
      <w:r>
        <w:t xml:space="preserve">Sections 404.0241(a) and (d).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 but only if the constitutional amendment proposed by the 86th Legislature, Regular Session, 2019, providing for foregoing the transfer of oil and gas production tax revenue to the economic stabilization fund if the ending fund balance for the preceding fiscal year is greater than $5 billion and for reducing the rates of oil and gas production taxes by amounts sufficient to equal the foregone transfer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