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86R3660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a veterans county service office report to the commissioners court or the county's chief administrator.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434.032, Government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 county with a population of 200,000 or more, the commissioners court shall maintain a veterans county service office.  The office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separate and distinct from other county offices;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staffed by at least one full-time employee;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(c),</w:t>
      </w:r>
      <w:r>
        <w:t xml:space="preserve"> report directly to the commissioners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that maintains a veterans county service office may order the office to report directly to the county's chief administrator.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