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86R1670 JTS-D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219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fees of and costs incurred by sheriffs and constables.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118.131(h), Local Government Code, is amended to read as follows:</w:t>
      </w:r>
    </w:p>
    <w:p w:rsidR="003F3435" w:rsidRDefault="0032493E">
      <w:pPr>
        <w:spacing w:line="480" w:lineRule="auto"/>
        <w:ind w:firstLine="720"/>
        <w:jc w:val="both"/>
      </w:pPr>
      <w:r>
        <w:t xml:space="preserve">(h)</w:t>
      </w:r>
      <w:r xml:space="preserve">
        <w:t> </w:t>
      </w:r>
      <w:r xml:space="preserve">
        <w:t> </w:t>
      </w:r>
      <w:r>
        <w:t xml:space="preserve">If the commissioners court does not set fees under this section, the fees for services by the offices of the sheriff and constables are those fees provided by law in effect </w:t>
      </w:r>
      <w:r>
        <w:rPr>
          <w:u w:val="single"/>
        </w:rPr>
        <w:t xml:space="preserve">for the preceding fiscal year</w:t>
      </w:r>
      <w:r>
        <w:t xml:space="preserve"> [</w:t>
      </w:r>
      <w:r>
        <w:rPr>
          <w:strike/>
        </w:rPr>
        <w:t xml:space="preserve">on August 31, 1981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118.133(d),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Fees collected under this </w:t>
      </w:r>
      <w:r>
        <w:rPr>
          <w:u w:val="single"/>
        </w:rPr>
        <w:t xml:space="preserve">section</w:t>
      </w:r>
      <w:r>
        <w:t xml:space="preserve"> [</w:t>
      </w:r>
      <w:r>
        <w:rPr>
          <w:strike/>
        </w:rPr>
        <w:t xml:space="preserve">Act</w:t>
      </w:r>
      <w:r>
        <w:t xml:space="preserve">] shall be deposited in the county treasury to the credit of the general fund of the county.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118.134(b),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of this section does not apply to costs incurred on property seized in conjunction with an offense alleged under the Penal Code, </w:t>
      </w:r>
      <w:r>
        <w:rPr>
          <w:u w:val="single"/>
        </w:rPr>
        <w:t xml:space="preserve">the</w:t>
      </w:r>
      <w:r>
        <w:t xml:space="preserve"> </w:t>
      </w:r>
      <w:r>
        <w:t xml:space="preserve">Code of Criminal Procedure, or </w:t>
      </w:r>
      <w:r>
        <w:rPr>
          <w:u w:val="single"/>
        </w:rPr>
        <w:t xml:space="preserve">Title 6 or 7, Transportation Code</w:t>
      </w:r>
      <w:r>
        <w:t xml:space="preserve"> [</w:t>
      </w:r>
      <w:r>
        <w:rPr>
          <w:strike/>
        </w:rPr>
        <w:t xml:space="preserve">Title 116, Vernon's Texas Civil Statutes</w:t>
      </w:r>
      <w:r>
        <w:t xml:space="preserve">], when the owner of the property is subsequently found to be not guilty of an offense or other proscribed activity described in those statutes, or if other charges whether criminal or civil are dropped.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