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202.018, Property Code, is amended by amending Subsections (a) and (b) and adding Subsections (b-1), (b-2), and (b-3)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w:t>
      </w:r>
      <w:r>
        <w:t xml:space="preserve">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w:t>
      </w:r>
      <w:r>
        <w:t xml:space="preserve">a </w:t>
      </w:r>
      <w:r>
        <w:rPr>
          <w:u w:val="single"/>
        </w:rPr>
        <w:t xml:space="preserve">restrictive</w:t>
      </w:r>
      <w:r>
        <w:t xml:space="preserve"> </w:t>
      </w:r>
      <w:r>
        <w:t xml:space="preserve">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w:t>
      </w:r>
      <w:r>
        <w:rPr>
          <w:u w:val="single"/>
        </w:rPr>
        <w:t xml:space="preserve"> </w:t>
      </w:r>
      <w:r>
        <w:rPr>
          <w:u w:val="single"/>
        </w:rPr>
        <w:t xml:space="preserve">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w:t>
      </w:r>
      <w:r>
        <w:rPr>
          <w:u w:val="single"/>
        </w:rPr>
        <w:t xml:space="preserve"> </w:t>
      </w:r>
      <w:r>
        <w:rPr>
          <w:u w:val="single"/>
        </w:rPr>
        <w:t xml:space="preserve">association</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(b-3), a property owners' association may enforce a provision of a dedicatory instrument, including a restrictive covenant, that prohibits: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display of a religious item for more than 30 days if the item: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roofing material, siding, paving materials, one or more balloons or lights, or any other similar building component;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attached in any way to a traffic control device, a light, a trailer, a vehicle, or any other existing structure or object;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painting of architectural surfaces;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display that 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more than two components;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component that is larger than three feet by three feet by two feet;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violates any applicable building line, right-of-way, setback, or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accompanied by music, sounds, lights, reflective material, or streamers or is otherwise distracting to motorists;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 not maintained as provided by law or a dedicatory instrument;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installed without prior approval of the property owners' association or the association's architectural control committee, as applicable,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approval of the association or committee is otherwise required by a dedicatory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association or committee provides decisions on prior approval requests within a reasonable period or within a period specified in a dedicatory instrument;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display of a religious item that is subject to restriction under Subdivision (1) for a religious event or holiday: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earlier than the 30th day before the date on which the religious event or holiday begins;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later than the 14th day after the date on which the religious event or holiday ends.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prior approval of a display is required, a property owners' association or the association's architectural control committee, as applicable, shall approve an owner's or resident's request to display a religious item if the display of the item complies with the association's dedicatory instruments consistent with Subsections (b) and (b-1)(1).  The association shall notify owners and residents that approval of the display of a religious item is required for a display that is not subject to restriction under Subsection (b) or Subsections (b-1)(1)(A) through (G).</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 (b-1) is not a basis to prohibit an owner or resident from affixing on the entry door or door frame of the owner's or resident's dwelling one or more religious items the display of which is motivated by the owner's or resident's sincere religious belief if the items: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 not extend past the outer edge of the door frame of the dwelling;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individually or in combination with each other do not exceed 25 square inches.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