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232</w:t>
      </w:r>
    </w:p>
    <w:p w:rsidR="003F3435" w:rsidRDefault="0032493E">
      <w:pPr>
        <w:ind w:firstLine="720"/>
        <w:jc w:val="both"/>
      </w:pPr>
      <w:r>
        <w:t xml:space="preserve">(Bernal)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parental notification by a school district regarding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 Education Code, is amended by adding Section 28.02123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28.02123.</w:t>
      </w:r>
      <w:r>
        <w:rPr>
          <w:u w:val="single"/>
        </w:rPr>
        <w:t xml:space="preserve"> </w:t>
      </w:r>
      <w:r>
        <w:rPr>
          <w:u w:val="single"/>
        </w:rPr>
        <w:t xml:space="preserve"> </w:t>
      </w:r>
      <w:r>
        <w:rPr>
          <w:u w:val="single"/>
        </w:rPr>
        <w:t xml:space="preserve">NOTIFICATION OF CERTAIN HIGH SCHOOL GRADUATION REQUIREMENTS.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September 1 of each school year, a school district shall notify by regular mail or e-mail the parent of or other person standing in parental relation to each student enrolled in grade nine or above that the student is not required to complete an Algebra II course to graduate under the foundation high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notification must include information regarding the potential consequences to a student of not completing an Algebra II course, including the impact on eligibility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automatic college admission under Section 51.803;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certain financial aid authorized under Title 3,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grant program under Subchapter M, Chapter 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Educational Opportunity Grant Program under Subchapter P, Chapter 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