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notification by a school district regarding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 Education Code, is amended by adding Section 28.02123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28.02123.</w:t>
      </w:r>
      <w:r>
        <w:rPr>
          <w:u w:val="single"/>
        </w:rPr>
        <w:t xml:space="preserve"> </w:t>
      </w:r>
      <w:r>
        <w:rPr>
          <w:u w:val="single"/>
        </w:rPr>
        <w:t xml:space="preserve"> </w:t>
      </w:r>
      <w:r>
        <w:rPr>
          <w:u w:val="single"/>
        </w:rPr>
        <w:t xml:space="preserve">NOTIFICATION OF CERTAIN HIGH SCHOOL GRADUATION REQUIREMENTS. (a) Not later than September 1 of each school year, a school district shall notify by regular mail and e-mail the parent of or other person standing in parental relation to each student enrolled in grade nine or above that the student is not required to complete an Algebra II course to graduate under the foundation high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notification must include information regarding the potential consequences to a student of not completing an Algebra II course, including the impact on eligibility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automatic college admission under Section 51.803;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certain financial aid authorized under Title 3,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grant program under Subchapter M, Chapter 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Educational Opportunity Grant Program under Subchapter P, Chapter 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