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12,</w:t>
      </w:r>
      <w:r xml:space="preserve">
        <w:t> </w:t>
      </w:r>
      <w:r>
        <w:t xml:space="preserve">2018; February</w:t>
      </w:r>
      <w:r xml:space="preserve">
        <w:t> </w:t>
      </w:r>
      <w:r>
        <w:t xml:space="preserve">7,</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232</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parental notification by a school district regarding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 Education Code, is amended by adding Section 28.02123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28.02123.</w:t>
      </w:r>
      <w:r>
        <w:rPr>
          <w:u w:val="single"/>
        </w:rPr>
        <w:t xml:space="preserve"> </w:t>
      </w:r>
      <w:r>
        <w:rPr>
          <w:u w:val="single"/>
        </w:rPr>
        <w:t xml:space="preserve"> </w:t>
      </w:r>
      <w:r>
        <w:rPr>
          <w:u w:val="single"/>
        </w:rPr>
        <w:t xml:space="preserve">NOTIFICATION OF CERTAIN HIGH SCHOOL GRADUATION REQUIREMENTS.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of each school year, a school district shall notify by regular mail or e-mail the parent of or other person standing in parental relation to each student enrolled in grade nine or above that the student is not required to complete an Algebra II course to graduate under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notification must include information regarding the potential consequences to a student of not completing an Algebra II course, including the impact on eligibility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college admission under Section 51.803;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certain financial aid authorized under Title 3,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grant program under Subchapter M, Chapter 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Educational Opportunity Grant Program under Subchapter P, Chapter 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