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14,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2,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4; April</w:t>
      </w:r>
      <w:r xml:space="preserve">
        <w:t> </w:t>
      </w:r>
      <w:r>
        <w:t xml:space="preserve">2,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243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[</w:t>
      </w:r>
      <w:r>
        <w:rPr>
          <w:strike/>
        </w:rPr>
        <w:t xml:space="preserve">school marshal may carry a concealed handgun as described by Subsection (c), except that if the primary duty of the school marshal involves regular, direct contact with students, the marshal may not carry a concealed handgun but may possess a handgun on the physical premises of a school in a locked and secured safe within the marshal's immediate reach when conducting the marshal's primary duty.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written regulations must also require that a</w:t>
      </w:r>
      <w:r>
        <w:t xml:space="preserve">]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[</w:t>
      </w:r>
      <w:r>
        <w:rPr>
          <w:strike/>
        </w:rPr>
        <w:t xml:space="preserve">school marshal may carry a concealed handgun as described by Subsection (c), except that if the primary duty of the school marshal involves regular, direct contact with students in a classroom setting, the marshal may not carry a concealed handgun but may possess a handgun on the physical premises of a school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 require that a</w:t>
      </w:r>
      <w:r>
        <w:t xml:space="preserve">]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51.220(e)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 must provide that a [</w:t>
      </w:r>
      <w:r>
        <w:rPr>
          <w:strike/>
        </w:rPr>
        <w:t xml:space="preserve">school marshal may carry a concealed</w:t>
      </w:r>
      <w:r>
        <w:t xml:space="preserve">] handgun 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 possess a handgun on the physical premises of a public junior college campus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 require that a handgun</w:t>
      </w:r>
      <w:r>
        <w:t xml:space="preserve">]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