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86R4833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244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number of school marshals that may be appointed to serve on a public school campus or at a private school.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37.0811(a),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board of trustees of a school district or the governing body of an open-enrollment charter school may appoint </w:t>
      </w:r>
      <w:r>
        <w:rPr>
          <w:u w:val="single"/>
        </w:rPr>
        <w:t xml:space="preserve">one or more school marshals for each campus</w:t>
      </w:r>
      <w:r>
        <w:t xml:space="preserve"> [</w:t>
      </w:r>
      <w:r>
        <w:rPr>
          <w:strike/>
        </w:rPr>
        <w:t xml:space="preserve">not more than the greater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 one school marshal per 200 students in average daily attendance per campus;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 for each campus, one school marshal per building of the campus at which students regularly receive classroom instruction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37.0813(a),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governing body of a private school may appoint </w:t>
      </w:r>
      <w:r>
        <w:rPr>
          <w:u w:val="single"/>
        </w:rPr>
        <w:t xml:space="preserve">one or more school marshals</w:t>
      </w:r>
      <w:r>
        <w:t xml:space="preserve"> [</w:t>
      </w:r>
      <w:r>
        <w:rPr>
          <w:strike/>
        </w:rPr>
        <w:t xml:space="preserve">not more than the greater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one school marshal per 200 students enrolled in the school;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one school marshal per building of the school at which students regularly receive classroom instruction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244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