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86R1888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office of capital and forensic writs to refuse to accept certain referrals for good cause.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78.054(a),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office may not accept an appointment under Article 11.071, Code of Criminal Procedure, </w:t>
      </w:r>
      <w:r>
        <w:rPr>
          <w:u w:val="single"/>
        </w:rPr>
        <w:t xml:space="preserve">or a referral under Section 4(h), Article 38.01, Code of Criminal Procedure,</w:t>
      </w:r>
      <w:r>
        <w:t xml:space="preserve">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conflict of interest exists;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office has insufficient resources to provide adequate representation for the defendant;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office is incapable of providing representation for the defendant in accordance with the rules of professional conduct;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other good cause is shown for not accepting the appointment.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