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 appointment of a receiver for a property that is in violation of certain ordinances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214.003,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court may appoint as a receiver for the property a nonprofit organization or an individual with a demonstrated record of rehabilitating properties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structures on the property are in violation of the standards set forth in Section 214.001(b) and an ordinance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notice of violation was given to the record owner of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public hearing as required by Section 214.001(b) has been conducted.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only to a municipality wholly or partly located in a county that is located along the international border and has a population of 800,000 or more. </w:t>
      </w:r>
      <w:r>
        <w:rPr>
          <w:u w:val="single"/>
        </w:rPr>
        <w:t xml:space="preserve"> </w:t>
      </w:r>
      <w:r>
        <w:rPr>
          <w:u w:val="single"/>
        </w:rPr>
        <w:t xml:space="preserve">The court may appoint as a receiver under Subsection (b) an individual without a demonstrated record of rehabilitating properties if the municipality demonstrates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individual with a demonstrated record of rehabilitating properties is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being appointed is competent and able to fulfill the duties of a receiver.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254 passed the Senate on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254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1,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