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86R875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court-ordered support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154.302(b),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 xml:space="preserve">
        <w:t> </w:t>
      </w:r>
      <w:r>
        <w:t xml:space="preserve">[</w:t>
      </w:r>
      <w:r>
        <w:rPr>
          <w:strike/>
        </w:rPr>
        <w:t xml:space="preserve">A</w:t>
      </w:r>
      <w:r>
        <w:t xml:space="preserve">] court that orders support under this section shall designate a parent of the child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another person having physical custody or guardianship of the child under a court order</w:t>
      </w:r>
      <w:r>
        <w:rPr>
          <w:u w:val="single"/>
        </w:rPr>
        <w:t xml:space="preserve">, or a special needs trust created for the child</w:t>
      </w:r>
      <w:r>
        <w:t xml:space="preserve"> to receive the support for the child.  The court may designate a child who is 18 years of age or older to receive the support directly.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constitutes a material and substantial change of circumstances under Section 156.401, Family Code, sufficient to warrant modification of a court order or a portion of a decree that provides for the support of a child rendered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