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86R5659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fraudulent use or possession of identifying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restaurant or bar owner shall display in a prominent place on the premises of the restaurant or bar a sign stating in letters at least one-half inch high: "UNDER SECTION 32.51, PENAL CODE, IT IS A STATE JAIL FELONY (PUNISHABLE BY CONFINEMENT IN A STATE JAIL FOR NOT MORE THAN TWO YEARS) TO OBTAIN, POSSESS, TRANSFER, OR USE A CUSTOMER'S DEBIT CARD OR CREDIT CARD NUMBER WITHOUT THE CUSTOMER'S CONSENT </w:t>
      </w:r>
      <w:r>
        <w:rPr>
          <w:u w:val="single"/>
        </w:rPr>
        <w:t xml:space="preserve">OR EFFECTIVE CONSENT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32.51(b),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with the intent to harm or defraud another, obtains, possesses, transfers, or uses an item of:</w:t>
      </w:r>
    </w:p>
    <w:p w:rsidR="003F3435" w:rsidRDefault="0032493E">
      <w:pPr>
        <w:spacing w:line="480" w:lineRule="auto"/>
        <w:ind w:firstLine="1440"/>
        <w:jc w:val="both"/>
      </w:pPr>
      <w:r>
        <w:t xml:space="preserve">(1)</w:t>
      </w:r>
      <w:r xml:space="preserve">
        <w:t> </w:t>
      </w:r>
      <w:r xml:space="preserve">
        <w:t> </w:t>
      </w:r>
      <w:r>
        <w:t xml:space="preserve">identifying information of another person without the other person's consent </w:t>
      </w:r>
      <w:r>
        <w:rPr>
          <w:u w:val="single"/>
        </w:rPr>
        <w:t xml:space="preserve">or effective consent</w:t>
      </w:r>
      <w:r>
        <w:t xml:space="preserve">;</w:t>
      </w:r>
    </w:p>
    <w:p w:rsidR="003F3435" w:rsidRDefault="0032493E">
      <w:pPr>
        <w:spacing w:line="480" w:lineRule="auto"/>
        <w:ind w:firstLine="1440"/>
        <w:jc w:val="both"/>
      </w:pPr>
      <w:r>
        <w:t xml:space="preserve">(2)</w:t>
      </w:r>
      <w:r xml:space="preserve">
        <w:t> </w:t>
      </w:r>
      <w:r xml:space="preserve">
        <w:t> </w:t>
      </w:r>
      <w:r>
        <w:t xml:space="preserve">information concerning a deceased natural person, including a stillborn infant or fetus, that would be identifying information of that person were that person alive, if the item of information is obtained, possessed, transferred, or used without legal authorization; or</w:t>
      </w:r>
    </w:p>
    <w:p w:rsidR="003F3435" w:rsidRDefault="0032493E">
      <w:pPr>
        <w:spacing w:line="480" w:lineRule="auto"/>
        <w:ind w:firstLine="1440"/>
        <w:jc w:val="both"/>
      </w:pPr>
      <w:r>
        <w:t xml:space="preserve">(3)</w:t>
      </w:r>
      <w:r xml:space="preserve">
        <w:t> </w:t>
      </w:r>
      <w:r xml:space="preserve">
        <w:t> </w:t>
      </w:r>
      <w:r>
        <w:t xml:space="preserve">identifying information of a child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