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86R2547 TSR-D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for certain state employees to work flexible hours and to work from home or other authorized alternative work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658.006, Government Code, is amended to read as follows:</w:t>
      </w:r>
    </w:p>
    <w:p w:rsidR="003F3435" w:rsidRDefault="0032493E">
      <w:pPr>
        <w:spacing w:line="480" w:lineRule="auto"/>
        <w:ind w:firstLine="720"/>
        <w:jc w:val="both"/>
      </w:pPr>
      <w:r>
        <w:t xml:space="preserve">Sec.</w:t>
      </w:r>
      <w:r xml:space="preserve">
        <w:t> </w:t>
      </w:r>
      <w:r>
        <w:t xml:space="preserve">658.006.</w:t>
      </w:r>
      <w:r xml:space="preserve">
        <w:t> </w:t>
      </w:r>
      <w:r xml:space="preserve">
        <w:t> </w:t>
      </w:r>
      <w:r>
        <w:rPr>
          <w:u w:val="single"/>
        </w:rPr>
        <w:t xml:space="preserve">VARIED</w:t>
      </w:r>
      <w:r>
        <w:t xml:space="preserve"> </w:t>
      </w:r>
      <w:r>
        <w:t xml:space="preserve">[</w:t>
      </w:r>
      <w:r>
        <w:rPr>
          <w:strike/>
        </w:rPr>
        <w:t xml:space="preserve">STAGGERED</w:t>
      </w:r>
      <w:r>
        <w:t xml:space="preserve">] WORKING HOURS. </w:t>
      </w:r>
      <w:r>
        <w:t xml:space="preserve"> </w:t>
      </w:r>
      <w:r>
        <w:rPr>
          <w:u w:val="single"/>
        </w:rPr>
        <w:t xml:space="preserve">(a)</w:t>
      </w:r>
      <w:r>
        <w:t xml:space="preserve"> </w:t>
      </w:r>
      <w:r>
        <w:t xml:space="preserve"> </w:t>
      </w:r>
      <w:r>
        <w:t xml:space="preserve">Normal working hours for employees of a state agency may be staggered for traffic regulation or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works from an alternative work site as part of a policy approved under Section 658.010 may, with the approval of the employee's supervisor, complete all or part of the employee's work hours, not including compensatory time and overtime, at times other than the regular working hours established under Section 658.005.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 Government Code, is amended by amending Subsection (b) and adding Subsections (c),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w:t xml:space="preserve"> [</w:t>
      </w:r>
      <w:r>
        <w:rPr>
          <w:strike/>
        </w:rPr>
        <w:t xml:space="preserve">The</w:t>
      </w:r>
      <w:r>
        <w:t xml:space="preserve">] employee's personal residence may not be considered the employee's regular or assigned temporary place of employment without prior written authorization from the administrative head of the employing state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administrative head of a state agency may adopt an agency policy that authorizes the supervisor of an employee of the agency to permit the employee to work from an alternative work site, including the employee's personal residence, as the employee's regular or assigned temporary place of employment.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(c)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factors the state agency will consider in evaluating whether a position is suitable for an alternative work site, including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position requires on-site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provision of in-person service is essential to the position;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in-person interaction is essential to the position;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employee who will work from an alternative work site to enter into an agreement with the state agency that establishes the employee's responsibilities and the requirements for communicating with and reporting to the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revocation of an employee's permission to work from an alternative work site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position is no longer suitable for an alternative work site based on the factors identified under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 violates the agreement entered into under Subdivision (2).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even-numbered year, the Department of Information Resources shall compile and submit a report to the legislature providing information about policies adopted under Subsection (c).  The Texas A&amp;M Transportation Institute may assist in creating the report.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state agencies that have adopted a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requirements of each agency's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estimate of the number of employees who work from an alternative work site  as permitted under a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of the productivity, efficiency, and value to taxpayers of employees working from an alternative work site as permitted under a policy;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regarding the collective effect of agency policies on traffic congestion;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Department of Information Resources determines to be relevant and beneficial.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