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86R4103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disclosures of electronic toll collection customer account information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372, Transportation Code, is amended by adding Section 372.054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DISCLOSURE OF ELECTRONIC TOLL COLLECTION CUSTOMER ACCOUNT INFORMATION TO OTHER TOLL PROJECT ENTITIES.  (a)  Notwithstanding the confidentiality of electronic toll collection customer account information, including confidentiality under Sections 228.057(e), 366.179(d), 370.177(m), 370.178(d), and 372.051(a), a toll project entity with an electronic toll collection customer may provide by contract to another toll project entity electronic toll collection customer account information, including contact and facility use information, for customer service, toll collection, or enforcement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for the provision of electronic toll collection customer account information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ensure the confidentiality of all account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public disclosure for the purposes of Chapter 552,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information related to account payment arrangements, including a customer's credit card, debit card, charge card, or bank account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allow for the use of the information for commercial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