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86R4703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and movement of motorcycles on certain highways during periods of traffic congestion.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545.060, Transportation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operator on a roadway divided into two or more clearly marked lanes for traffic: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shall drive as nearly as practical entirely within a single lane</w:t>
      </w:r>
      <w:r>
        <w:rPr>
          <w:u w:val="single"/>
        </w:rPr>
        <w:t xml:space="preserve">, except as provided by Subsection (e)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not move from the lane unless that movement can be made safely.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operator of a motorcycle operating on a limited-access or controlled-access highway may operate the motorcycle for a safe distance between lanes of traffic moving in the same direction during periods of traffic congestion if the operator operates the motorcycle: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a speed not more than five miles per hour greater than the speed of the other traffic;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traffic that is moving at a speed of 20 miles per hour or less.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