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86R5783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money associated with delays of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222, Transportation Code, is amended by adding Section 222.007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w:t>
      </w:r>
      <w:r>
        <w:rPr>
          <w:u w:val="single"/>
        </w:rPr>
        <w:t xml:space="preserve"> </w:t>
      </w:r>
      <w:r>
        <w:rPr>
          <w:u w:val="single"/>
        </w:rPr>
        <w:t xml:space="preserve"> </w:t>
      </w:r>
      <w:r>
        <w:rPr>
          <w:u w:val="single"/>
        </w:rPr>
        <w:t xml:space="preserve">ALLOCATION OF MONEY FROM TRANSPORTATION PROJECT DELAYS.  (a)  The department shall establish a system to track liquidated damages, including road user costs, retained by the department associated with delayed transportation project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the department to correlate the liquidated damages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that was the subject of the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department district in which the project that was the subject of the damages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department district, determine the amount of money described by Subsection (a) retained in the previous year that is attributable to projects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transportation project that was the subject of liquidated damages is located in more than one department district, the department may reasonably allocate the amount of the liquidated damages from that project among the districts in which the project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