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Nichols</w:t>
      </w:r>
      <w:r xml:space="preserve">
        <w:tab wTab="150" tlc="none" cTlc="0"/>
      </w:r>
      <w:r>
        <w:t xml:space="preserve">S.B.</w:t>
      </w:r>
      <w:r xml:space="preserve">
        <w:t> </w:t>
      </w:r>
      <w:r>
        <w:t xml:space="preserve">No.</w:t>
      </w:r>
      <w:r xml:space="preserve">
        <w:t> </w:t>
      </w:r>
      <w:r>
        <w:t xml:space="preserve">282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w:t>
      </w:r>
      <w:r xml:space="preserve">
        <w:t> </w:t>
      </w:r>
      <w:r>
        <w:t xml:space="preserve">2019; February</w:t>
      </w:r>
      <w:r xml:space="preserve">
        <w:t> </w:t>
      </w:r>
      <w:r>
        <w:t xml:space="preserve">7,</w:t>
      </w:r>
      <w:r xml:space="preserve">
        <w:t> </w:t>
      </w:r>
      <w:r>
        <w:t xml:space="preserve">2019, read first time and referred to Committee on Transportation; March</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allocation of money associated with delays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222, Transportation Code, is amended by adding Section 222.007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w:t>
      </w:r>
      <w:r>
        <w:rPr>
          <w:u w:val="single"/>
        </w:rPr>
        <w:t xml:space="preserve"> </w:t>
      </w:r>
      <w:r>
        <w:rPr>
          <w:u w:val="single"/>
        </w:rPr>
        <w:t xml:space="preserve"> </w:t>
      </w:r>
      <w:r>
        <w:rPr>
          <w:u w:val="single"/>
        </w:rPr>
        <w:t xml:space="preserve">ALLOCATION OF MONEY FROM TRANSPORTATION PROJECT DELAYS.  (a)</w:t>
      </w:r>
      <w:r>
        <w:rPr>
          <w:u w:val="single"/>
        </w:rPr>
        <w:t xml:space="preserve"> </w:t>
      </w:r>
      <w:r>
        <w:rPr>
          <w:u w:val="single"/>
        </w:rPr>
        <w:t xml:space="preserve"> </w:t>
      </w:r>
      <w:r>
        <w:rPr>
          <w:u w:val="single"/>
        </w:rPr>
        <w:t xml:space="preserve">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the department to correlate the liquidated damages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that was the subject of the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department district in which the project that was the subject of the damages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