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disciplinary proceedings applicable to a licensed forensic analyst.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4-c, Article 38.01, Code of Criminal Procedure,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give written notice by certified mail of a determination described by Subsection (a) to a license holder who is the subject of the determination.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misconduct or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disciplinary action taken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license holder of the license holder's right to a hearing before the Judicial Branch Certification Commission on the occurrence of the misconduct or violation, the imposition of disciplinary action,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20th day after the date the license holder receives the notice under Subsection (c), the license holder may request a hearing by submitting a written request to the Judicial Branch Certification Commission.  If the license holder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the Judicial Branch Certification Commission shall conduct a hearing to determine whether there is substantial evidence to support the determination under Subsection (a) that the license holder committed professional misconduct or violated this article or a commission rule or order under this article.  If the Judicial Branch Certification Commission upholds the determination, the Judicial Branch Certification Commission shall determine the type of disciplinary action to be taken.  The Judicial Branch Certification Commission shall conduct the hearing in accordance with the procedures provided by Subchapter B, Chapter 153, Government Code, as applicable, and the rules of the Judicial Branch Certification Commission.</w:t>
      </w:r>
      <w:r>
        <w:t xml:space="preserve"> </w:t>
      </w:r>
      <w:r>
        <w:t xml:space="preserve"> </w:t>
      </w:r>
      <w:r>
        <w:t xml:space="preserve">[</w:t>
      </w:r>
      <w:r>
        <w:rPr>
          <w:strike/>
        </w:rPr>
        <w:t xml:space="preserve">Disciplinary proceedings of the commission are governed by Chapter 2001, Government Code. </w:t>
      </w:r>
      <w:r>
        <w:rPr>
          <w:strike/>
        </w:rPr>
        <w:t xml:space="preserve"> </w:t>
      </w:r>
      <w:r>
        <w:rPr>
          <w:strike/>
        </w:rPr>
        <w:t xml:space="preserve">A hearing under this section shall be conducted by an administrative law judge of the State Office of Administrative Hearings.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