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86R24169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286</w:t>
      </w:r>
    </w:p>
    <w:p w:rsidR="003F3435" w:rsidRDefault="0032493E">
      <w:pPr>
        <w:ind w:firstLine="720"/>
        <w:jc w:val="both"/>
      </w:pPr>
      <w:r>
        <w:t xml:space="preserve">(Reynolds, Zerwas, Miller, Stephenson)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certain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320.0455, Local Government Code, is amended by amending Subsections (a) and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580,000 or more adjacent to a county with a population of 2.8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and subject</w:t>
      </w:r>
      <w:r>
        <w:t xml:space="preserve"> [</w:t>
      </w:r>
      <w:r>
        <w:rPr>
          <w:strike/>
        </w:rPr>
        <w:t xml:space="preserve">Subject</w:t>
      </w:r>
      <w:r>
        <w:t xml:space="preserve">] to the approval of the commissioners court, the board may adopt reasonable rules concerning the use of any park administered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created for a county described by Subsection (a)(2) may not adopt rules relating to the use of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