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(g) and adding Subsection (l) to read as follows:</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w:t>
      </w:r>
      <w:r>
        <w:rPr>
          <w:u w:val="single"/>
        </w:rPr>
        <w:t xml:space="preserve">, except as provided by Section 387.007(d),</w:t>
      </w:r>
      <w:r>
        <w:t xml:space="preserve">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determining the combined tax rate under Subsections (b), (f), and (h), the following are considered to not be included in the territory of the proposed district or the area proposed to be added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387.007, Local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combined tax rate under Subsection (b), the following are considered to not be included in the territory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sales and use tax adopted under this chapter does not apply to an area described by Subsection (c) if the combined rate of all local sales and use taxes imposed in that area would exceed the maximum combined rate prescribed by Sections 321.101 and 323.101, Tax Code.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