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Miles</w:t>
      </w:r>
      <w:r xml:space="preserve">
        <w:tab wTab="150" tlc="none" cTlc="0"/>
      </w:r>
      <w:r>
        <w:t xml:space="preserve">S.B.</w:t>
      </w:r>
      <w:r xml:space="preserve">
        <w:t> </w:t>
      </w:r>
      <w:r>
        <w:t xml:space="preserve">No.</w:t>
      </w:r>
      <w:r xml:space="preserve">
        <w:t> </w:t>
      </w:r>
      <w:r>
        <w:t xml:space="preserve">288</w:t>
      </w:r>
    </w:p>
    <w:p w:rsidR="003F3435" w:rsidRDefault="0032493E">
      <w:pPr>
        <w:spacing w:line="480" w:lineRule="auto"/>
        <w:ind w:firstLine="720"/>
        <w:jc w:val="both"/>
      </w:pPr>
      <w:r>
        <w:t xml:space="preserve">(In the Senate</w:t>
      </w:r>
      <w:r xml:space="preserve">
        <w:t> </w:t>
      </w:r>
      <w:r>
        <w:t xml:space="preserve">-</w:t>
      </w:r>
      <w:r xml:space="preserve">
        <w:t> </w:t>
      </w:r>
      <w:r>
        <w:t xml:space="preserve">Filed January</w:t>
      </w:r>
      <w:r xml:space="preserve">
        <w:t> </w:t>
      </w:r>
      <w:r>
        <w:t xml:space="preserve">3,</w:t>
      </w:r>
      <w:r xml:space="preserve">
        <w:t> </w:t>
      </w:r>
      <w:r>
        <w:t xml:space="preserve">2019; February</w:t>
      </w:r>
      <w:r xml:space="preserve">
        <w:t> </w:t>
      </w:r>
      <w:r>
        <w:t xml:space="preserve">7,</w:t>
      </w:r>
      <w:r xml:space="preserve">
        <w:t> </w:t>
      </w:r>
      <w:r>
        <w:t xml:space="preserve">2019, read first time and referred to Committee on Finance; April</w:t>
      </w:r>
      <w:r xml:space="preserve">
        <w:t> </w:t>
      </w:r>
      <w:r>
        <w:t xml:space="preserve">15,</w:t>
      </w:r>
      <w:r xml:space="preserve">
        <w:t> </w:t>
      </w:r>
      <w:r>
        <w:t xml:space="preserve">2019, reported favorably by the following vote:</w:t>
      </w:r>
      <w:r>
        <w:t xml:space="preserve"> </w:t>
      </w:r>
      <w:r>
        <w:t xml:space="preserve"> </w:t>
      </w:r>
      <w:r>
        <w:t xml:space="preserve">Yeas 12, Nays 0, 1 present not voting; April</w:t>
      </w:r>
      <w:r xml:space="preserve">
        <w:t> </w:t>
      </w:r>
      <w:r>
        <w:t xml:space="preserve">15,</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Watson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authority of a county assistance district to impose a sales and use tax.</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387.003, Local Government Code, is amended by amending Subsection (g) and adding Subsection (l) to read as follows:</w:t>
      </w:r>
    </w:p>
    <w:p w:rsidR="003F3435" w:rsidRDefault="0032493E">
      <w:pPr>
        <w:spacing w:line="480" w:lineRule="auto"/>
        <w:ind w:firstLine="720"/>
        <w:jc w:val="both"/>
      </w:pPr>
      <w:r>
        <w:t xml:space="preserve">(g)</w:t>
      </w:r>
      <w:r xml:space="preserve">
        <w:t> </w:t>
      </w:r>
      <w:r xml:space="preserve">
        <w:t> </w:t>
      </w:r>
      <w:r>
        <w:t xml:space="preserve">The area in which an election is held under Subsection (f) is included in the district and</w:t>
      </w:r>
      <w:r>
        <w:rPr>
          <w:u w:val="single"/>
        </w:rPr>
        <w:t xml:space="preserve">, except as provided by Section 387.007(d),</w:t>
      </w:r>
      <w:r>
        <w:t xml:space="preserve"> the sales and use tax is imposed if a majority of the votes received at the election favor inclusion in the district and imposition of the sales and use tax.</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In determining the combined tax rate under Subsections (b), (f), and (h), the following are considered to not be included in the territory of the proposed district or the area proposed to be added to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rights-of-way;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county-owned property that is being used for a public purpose and in which no person has a place of business to which a sales tax permit has been issued under Subchapter F, Chapter 151, Tax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387.007, Local Government Code, is amended by adding Subsections (c) and (d)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determining the combined tax rate under Subsection (b), the following are considered to not be included in the territory of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rights-of-way;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county-owned property that is being used for a public purpose and in which no person has a place of business to which a sales tax permit has been issued under Subchapter F, Chapter 151, Tax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sales and use tax adopted under this chapter does not apply to an area described by Subsection (c) if the combined rate of all local sales and use taxes imposed in that area would exceed the maximum combined rate prescribed by Sections 321.101 and 323.101, Tax Code.</w:t>
      </w:r>
      <w:r>
        <w:t xml:space="preserve"> </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288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