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86R1512 SMT-D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291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 human trafficking unit within the Department of Public Safety of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411, Government Code, is amended by adding Section 411.02096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411.02096.</w:t>
      </w:r>
      <w:r>
        <w:rPr>
          <w:u w:val="single"/>
        </w:rPr>
        <w:t xml:space="preserve"> </w:t>
      </w:r>
      <w:r>
        <w:rPr>
          <w:u w:val="single"/>
        </w:rPr>
        <w:t xml:space="preserve"> </w:t>
      </w:r>
      <w:r>
        <w:rPr>
          <w:u w:val="single"/>
        </w:rPr>
        <w:t xml:space="preserve">HUMAN TRAFFICKING UNIT.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"Human trafficking" means conduct that constitutes an offense under Section 20A.02, Penal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 means the human trafficking unit established by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human trafficking unit is created within the department to investigate and combat human trafficking.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collaborate with federal and local law enforcement agencies to investigate human trafficking and arrest persons determined to have engaged in human trafficking.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shall provide specialized training for peace officers assigned to the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department shall develop guidelines and protocols designed to minimize intrusion on a human trafficking victim who has an encounter with a peace officer performing a duty of the unit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department may adopt rules as necessary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Department of Public Safety of the State of Texas shall establish the human trafficking unit under Section 411.02096,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291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