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86R884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 each disability category under the Individuals with Disabilities Education Act (20 U.S.C. Section 1400 et seq.) and how each category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 a program selected from the list of recommended best practice-based programs and research-based practices established under Section 161.325, Health and Safety Code; and</w:t>
      </w:r>
    </w:p>
    <w:p w:rsidR="003F3435" w:rsidRDefault="0032493E">
      <w:pPr>
        <w:spacing w:line="480" w:lineRule="auto"/>
        <w:ind w:firstLine="1440"/>
        <w:jc w:val="both"/>
      </w:pPr>
      <w:r>
        <w:t xml:space="preserve">(2)</w:t>
      </w:r>
      <w:r xml:space="preserve">
        <w:t> </w:t>
      </w:r>
      <w:r xml:space="preserve">
        <w:t> </w:t>
      </w:r>
      <w:r>
        <w:t xml:space="preserve">include effective strategies for teaching and intervening with students with mental or emotional disorders, including de-escalation techniques and positive behavioral interventions and supports.</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to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