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86R2819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 means a clean and sturdy structure: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allows the dog protection from rain, hail, sleet, snow, and subfreezing temperatures;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dimensions that allow the dog while in the shelter to stand erect, sit, turn around, and lie down in a normal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"Collar" means a band constructed of nylon, leather, or similar material, specifically designed to be placed around the neck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"Harness" means a set of straps constructed of nylon, leather, or similar material, specifically designed to restrain or control a dog.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"Properly fitted" means, with respect to a collar or harness, a collar or harness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appropriately sized for the dog based on the dog's measurements and body weight;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choke the dog or impede the dog's normal breathing or swallowing;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attached around the dog in a manner that does not allow for escape and does not cause pain or injury to the dog.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(a)  An owner may not leave a dog outside and unattended by use of a restraint unless the owner provides the dog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allows the dog to avoid standing 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shade from direct sunlight;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potable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may not restrain a dog outside and unattended by use of a restraint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weights attached;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shorter in length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times the length of the dog, as measured from the tip of the dog's nose to the base of the dog's tail;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feet;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attached to a properly fitted collar or harness;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causes pain or injury to the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  Section 821.102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restraint on a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restraint on a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a restraint on a dog while the owner and dog engage in conduct directly related to the business of shepherding or herding cattle or livestock;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a restraint on a dog while the owner and dog engage in conduct directly related to the business of cultivating agricultural products;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leaving of a dog unattended in an open-air truck bed only for the time necessary for the owner to complete a temporary task that requires the dog to be left unattended in the truck bed.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821.102(b)(3)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OFFENSE; PENALTY.  (a)  A person commits an offense if the person knowingly violates this subchapter.  The restraint of each dog that is in violation is a separate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subchapter is a Class C misdemeanor, except that the offense is a Class B misdemeanor if the person has previously been convicted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subchapter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821.105.</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a requirement prescribed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