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indefinite quantity contracts for the provision of certain services to declared disaster areas following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INDEFINITE QUANTITY CONTRACTS FOR SERVICES AFTER DECLARED NATURAL DISASTER.  (a)  Not later than May 1 of each year, the land office shall enter into indefinite quantity contracts with vendors to provide information management services, construction services, including engineering construction services, and other services the land office determines may be necessary to construct, repair, or rebuild property or infrastructure in the event of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contract under Subsection (a) must provide that the contract is contingent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occurrence of a natural disaster not later than 12 months after the effective date of the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delivery of the services to an area of this state declared by the governor or president of the United States under law to be a disaster area as a result of the natural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land office determines that federal funds may be used for a contract under Subsection (a), the land office shall ensure that the contract complies with the requirements of the Federal Acquisition Regulation (48 C.F.R. Chapter 1), or a successor regulation.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