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86R4887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Subsections (l-1), (l-2), and (l-3)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rPr>
          <w:u w:val="single"/>
        </w:rPr>
        <w:t xml:space="preserve">(l-2)</w:t>
      </w:r>
      <w:r>
        <w:rPr>
          <w:u w:val="single"/>
        </w:rPr>
        <w:t xml:space="preserve"> </w:t>
      </w:r>
      <w:r>
        <w:rPr>
          <w:u w:val="single"/>
        </w:rPr>
        <w:t xml:space="preserve"> </w:t>
      </w:r>
      <w:r>
        <w:rPr>
          <w:u w:val="single"/>
        </w:rPr>
        <w:t xml:space="preserve">Notwithstanding Subsection (l-1), the commission shall continue to provide medical assistance to a woman who is eligible for medical assistance for pregnant women: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state fiscal year beginning September 1, 2019, for a period of not less than four months following the date the woman delivers or experiences an involuntary miscarriage;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state fiscal year beginning September 1, 2020, for a period of not less than eight months following the date the woman delivers or experiences an involuntary miscarriage.</w:t>
      </w:r>
    </w:p>
    <w:p w:rsidR="003F3435" w:rsidRDefault="0032493E">
      <w:pPr>
        <w:spacing w:line="480" w:lineRule="auto"/>
        <w:ind w:firstLine="720"/>
        <w:jc w:val="both"/>
      </w:pPr>
      <w:r>
        <w:rPr>
          <w:u w:val="single"/>
        </w:rPr>
        <w:t xml:space="preserve">(l-3)</w:t>
      </w:r>
      <w:r>
        <w:rPr>
          <w:u w:val="single"/>
        </w:rPr>
        <w:t xml:space="preserve"> </w:t>
      </w:r>
      <w:r>
        <w:rPr>
          <w:u w:val="single"/>
        </w:rPr>
        <w:t xml:space="preserve"> </w:t>
      </w:r>
      <w:r>
        <w:rPr>
          <w:u w:val="single"/>
        </w:rPr>
        <w:t xml:space="preserve">Subsection (l-2) and this subsection expire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