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86R2877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fiduciary status of a directed trust advisor.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114.0031, Property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terms of a trust give a person the authority to direct, consent to, or disapprove a trustee's actual or proposed investment decisions, distribution decisions, or other decisions, the person is [</w:t>
      </w:r>
      <w:r>
        <w:rPr>
          <w:strike/>
        </w:rPr>
        <w:t xml:space="preserve">considered to be</w:t>
      </w:r>
      <w:r>
        <w:t xml:space="preserve">] an advisor</w:t>
      </w:r>
      <w:r>
        <w:rPr>
          <w:u w:val="single"/>
        </w:rPr>
        <w:t xml:space="preserve">.  An advisor is</w:t>
      </w:r>
      <w:r>
        <w:t xml:space="preserve"> [</w:t>
      </w:r>
      <w:r>
        <w:rPr>
          <w:strike/>
        </w:rPr>
        <w:t xml:space="preserve">and</w:t>
      </w:r>
      <w:r>
        <w:t xml:space="preserve">] a fiduciary </w:t>
      </w:r>
      <w:r>
        <w:rPr>
          <w:u w:val="single"/>
        </w:rPr>
        <w:t xml:space="preserve">regardless of trust terms to the contrary</w:t>
      </w:r>
      <w:r>
        <w:t xml:space="preserve"> [</w:t>
      </w:r>
      <w:r>
        <w:rPr>
          <w:strike/>
        </w:rPr>
        <w:t xml:space="preserve">when exercising that authority</w:t>
      </w:r>
      <w:r>
        <w:t xml:space="preserve">] except that the trust terms may provide that an advisor acts in a nonfiduciary capacity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advisor's only power is to remove and appoint trustees, advisors, trust committee members, or other protectors;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advisor does not exercise that power to appoint the advisor's self to a position described by Subdivision (1)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Subsection (e) does not prohibit the exercise of a power in a nonfiduciary capacity as required by the Internal Revenue Code for a grantor or other person to be treated as the owner of any portion of the trust for federal income tax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Except as specifically provided by a trust term in effect before September 1, 2019, the changes in law made by this Act apply to a trust created before, on, or after September 1, 2019, with respect to an action taken or not taken on or after September 1, 2019, by a trustee, custodian, or other person with respect to the trust.</w:t>
      </w:r>
    </w:p>
    <w:p w:rsidR="003F3435" w:rsidRDefault="0032493E">
      <w:pPr>
        <w:spacing w:line="480" w:lineRule="auto"/>
        <w:ind w:firstLine="720"/>
        <w:jc w:val="both"/>
      </w:pPr>
      <w:r>
        <w:t xml:space="preserve">(b)</w:t>
      </w:r>
      <w:r xml:space="preserve">
        <w:t> </w:t>
      </w:r>
      <w:r xml:space="preserve">
        <w:t> </w:t>
      </w:r>
      <w:r>
        <w:t xml:space="preserve">An action taken or not taken with respect to a trust before September 1, 2019, is governed by the law that applied to the action taken or not taken immediately before September 1, 2019,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