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316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7,</w:t>
      </w:r>
      <w:r xml:space="preserve">
        <w:t> </w:t>
      </w:r>
      <w:r>
        <w:t xml:space="preserve">2019; February</w:t>
      </w:r>
      <w:r xml:space="preserve">
        <w:t> </w:t>
      </w:r>
      <w:r>
        <w:t xml:space="preserve">7,</w:t>
      </w:r>
      <w:r xml:space="preserve">
        <w:t> </w:t>
      </w:r>
      <w:r>
        <w:t xml:space="preserve">2019, read first time and referred to Committee on Education; April</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4; April</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316</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attorney general's duty to defend public school teachers.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it is in the best interest of this state for the attorney general to defend a public school teacher in a civil action brought against the teacher if the attorney general determines that the civil action arose as a result of an act that was within the scope of the teacher's duties and that the teacher acted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 Education Code, is amended by adding Section 22.0518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22.0518.</w:t>
      </w:r>
      <w:r>
        <w:rPr>
          <w:u w:val="single"/>
        </w:rPr>
        <w:t xml:space="preserve"> </w:t>
      </w:r>
      <w:r>
        <w:rPr>
          <w:u w:val="single"/>
        </w:rPr>
        <w:t xml:space="preserve"> </w:t>
      </w:r>
      <w:r>
        <w:rPr>
          <w:u w:val="single"/>
        </w:rPr>
        <w:t xml:space="preserve">DEFENSE BY ATTORNEY GENERAL.  (a)</w:t>
      </w:r>
      <w:r>
        <w:rPr>
          <w:u w:val="single"/>
        </w:rPr>
        <w:t xml:space="preserve"> </w:t>
      </w:r>
      <w:r>
        <w:rPr>
          <w:u w:val="single"/>
        </w:rPr>
        <w:t xml:space="preserve"> </w:t>
      </w:r>
      <w:r>
        <w:rPr>
          <w:u w:val="single"/>
        </w:rPr>
        <w:t xml:space="preserve">The attorney general shall defend a civil action brought against a teacher employed by a school district or open-enrollment charter school if the attorney general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civil action arose as a result of an act that was within the scope of the teacher's duties;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 acted in good faith;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representation of the teacher would not be a conflict of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regardless of whether at the time the civil action is filed the teacher has terminated service with the school district or open-enrollment charter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made by the attorney general under Subsection (a) may not be admitted as evidence in a civil court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deprive a teacher of the teacher's right to select legal counsel of the teacher's choosing at the teacher's own expense;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teacher to accept the attorney general's offer to represent the teacher.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22.0518, Education Code, as added by this Act, applies only to actions brought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