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Flores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320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municipal hotel occupancy tax revenue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351.1066(a),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with a population of at least 3,500 but less than 5,500 that is the county seat of a county with a population of less than 50,000 that borders a county with a population of more than 1.6 million;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municipality with a population of at least 2,900 but less than 3,500 that is the county seat of a county with a population of less than 22,000 that is bordered by the Trinity River and includes a state park and a portion of a wildlife management area;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municipality with a population of at least 7,500 that is located in a county that borders the Pecos River and that has a population of not more than 15,000;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municipality with a population of not more than </w:t>
      </w:r>
      <w:r>
        <w:rPr>
          <w:u w:val="single"/>
        </w:rPr>
        <w:t xml:space="preserve">15,000</w:t>
      </w:r>
      <w:r>
        <w:t xml:space="preserve"> [</w:t>
      </w:r>
      <w:r>
        <w:rPr>
          <w:strike/>
        </w:rPr>
        <w:t xml:space="preserve">5,000</w:t>
      </w:r>
      <w:r>
        <w:t xml:space="preserve">] that is located in a county through which the Frio River flows and an interstate highway crosses, and that has a population of at least 15,000;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municipality with a population of not less than 7,500 that is located in a county with a population of not less than 40,000 but less than 250,000 that is adjacent to a county with a population of less than 750.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320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