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86R2690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salary paid to certain professional employees of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21.402, Education Code, is amended by adding Subsections (c-2), (c-3), and (d) and amending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for the 2019-2020 school year, a classroom teacher, full-time librarian, full-time school counselor certified under Subchapter B, or full-time school nurse is entitled to a monthly salary that is at least equal to the sum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monthly salary the employee would have received for the 2019-2020 school year under the district's salary schedule for the 2018-2019 school year, if that schedule had been in effect for the 2019-2020 school year, including any local supplement and any money representing a career ladder supplement the employee would have received in the 2019-2020 school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$400.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(c-2) and this subsection expire September 1, 2020.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teacher, full-time librarian, full-time school counselor certified under Subchapter B, or full-time school nurse employed by a school district in the 2019-2020 school year is, as long as the employee is employed by the same district, entitled to a salary that is at least equal to the salary the employee received for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commissioner may adopt rules to govern the application of this section, including rules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require the payment of a minimum salary under this section to a person employed in more than one capacity for which a minimum salary is provided and whose combined employment in those capacities constitutes full-time employment;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specify the credentials a person must hold to be considered a [</w:t>
      </w:r>
      <w:r>
        <w:rPr>
          <w:strike/>
        </w:rPr>
        <w:t xml:space="preserve">speech pathologist or</w:t>
      </w:r>
      <w:r>
        <w:t xml:space="preserve">] school nurse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42.2513(a),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school district, including a school district that is otherwise ineligible for state aid under this chapter, is entitled to state aid in an amount equal to the sum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product of $500 multiplied by the number of full-time district employees, other than administrators or employees subject to the minimum salary schedule under Section 21.402;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the product of $4,000 multiplied by the number of classroom teachers, full-time librarians, full-time school counselors certified under Subchapter B, Chapter 21, and full-time school nurses employed by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product of $250 multiplied by the number of part-time district employees, other than administrators.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21.402(c-1),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