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335</w:t>
      </w:r>
    </w:p>
    <w:p w:rsidR="003F3435" w:rsidRDefault="0032493E">
      <w:pPr>
        <w:ind w:firstLine="720"/>
        <w:jc w:val="both"/>
      </w:pPr>
      <w:r>
        <w:t xml:space="preserve">(Rodriguez)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11.1827,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Once adopted by the governing body of a taxing unit, the exemption provided by this section continues to apply to property located in the taxing unit until the governing body rescinds the exemption in the manner provided by law for official action by the body.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