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w:t>
      </w:r>
      <w:r>
        <w:t xml:space="preserve"> </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w:t>
      </w:r>
      <w:r>
        <w:t xml:space="preserve"> [</w:t>
      </w:r>
      <w:r>
        <w:rPr>
          <w:strike/>
        </w:rPr>
        <w:t xml:space="preserve">The</w:t>
      </w:r>
      <w:r>
        <w:t xml:space="preserve">] credit </w:t>
      </w:r>
      <w:r>
        <w:rPr>
          <w:u w:val="single"/>
        </w:rPr>
        <w:t xml:space="preserve">under Subsection (c) or (c-1)</w:t>
      </w:r>
      <w:r>
        <w:t xml:space="preserve"> shall be applied to the amount of the fine and costs at the rate provided by Article 45.048.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