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161.082(a)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w:t>
      </w:r>
      <w:r xml:space="preserve">
        <w:t> </w:t>
      </w:r>
      <w:r>
        <w:t xml:space="preserve">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w:t>
      </w:r>
      <w:r xml:space="preserve">
        <w:t> </w:t>
      </w:r>
      <w:r xml:space="preserve">
        <w:t>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161.252(a),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161.083(a-1) and 161.455, Health and Safety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