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grant program to assist law enforcement agencies with the purchase of opioid antagonists.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criminal justice division of the governor's office is required to implement a provision of this Act only if the legislature appropriates money specifically for that purpose. </w:t>
      </w:r>
      <w:r>
        <w:t xml:space="preserve"> </w:t>
      </w:r>
      <w:r>
        <w:t xml:space="preserve">If the legislature does not appropriate money specifically for that purpose, the criminal justice division of the governor's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