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86R32953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 et al.</w:t>
      </w:r>
      <w:r xml:space="preserve">
        <w:tab wTab="150" tlc="none" cTlc="0"/>
      </w:r>
      <w:r>
        <w:t xml:space="preserve">S.B.</w:t>
      </w:r>
      <w:r xml:space="preserve">
        <w:t> </w:t>
      </w:r>
      <w:r>
        <w:t xml:space="preserve">No.</w:t>
      </w:r>
      <w:r xml:space="preserve">
        <w:t> </w:t>
      </w:r>
      <w:r>
        <w:t xml:space="preserve">355</w:t>
      </w:r>
    </w:p>
    <w:p w:rsidR="003F3435" w:rsidRDefault="0032493E">
      <w:pPr>
        <w:ind w:firstLine="720"/>
        <w:jc w:val="both"/>
      </w:pPr>
      <w:r>
        <w:t xml:space="preserve">(Klick)</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355:</w:t>
      </w: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C.S.S.B.</w:t>
      </w:r>
      <w:r xml:space="preserve">
        <w:t> </w:t>
      </w:r>
      <w:r>
        <w:t xml:space="preserve">No.</w:t>
      </w:r>
      <w:r xml:space="preserve">
        <w:t> </w:t>
      </w:r>
      <w:r>
        <w:t xml:space="preserve">355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developing a strategic plan regarding implementation of prevention and early intervention services and community-based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40, Human Resources Code, is amended by adding Section 40.079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40.079.</w:t>
      </w:r>
      <w:r>
        <w:rPr>
          <w:u w:val="single"/>
        </w:rPr>
        <w:t xml:space="preserve"> </w:t>
      </w:r>
      <w:r>
        <w:rPr>
          <w:u w:val="single"/>
        </w:rPr>
        <w:t xml:space="preserve"> </w:t>
      </w:r>
      <w:r>
        <w:rPr>
          <w:u w:val="single"/>
        </w:rPr>
        <w:t xml:space="preserve">STRATEGIC STATE PLAN TO IMPLEMENT COMMUNITY-BASED CARE AND FOSTER CARE PREVENTION SERVICES.  (a) </w:t>
      </w:r>
      <w:r>
        <w:rPr>
          <w:u w:val="single"/>
        </w:rPr>
        <w:t xml:space="preserve"> </w:t>
      </w:r>
      <w:r>
        <w:rPr>
          <w:u w:val="single"/>
        </w:rPr>
        <w:t xml:space="preserve">The department shall develop a strategic plan for the coordinated implementation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community-based care as defined by Section 264.152, Family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foster care prevention services that meet the requirements of Title VII, Div. E, Pub. L. No.</w:t>
      </w:r>
      <w:r>
        <w:rPr>
          <w:u w:val="single"/>
        </w:rPr>
        <w:t xml:space="preserve"> </w:t>
      </w:r>
      <w:r>
        <w:rPr>
          <w:u w:val="single"/>
        </w:rPr>
        <w:t xml:space="preserve">115-123.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strategic plan required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a network of services providers to provide mental health, substance use, and in-home parenting support services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children at risk of entering foster care;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parents and caregivers of children identified under Paragraph (A);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pregnant or parenting youth in foster care;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methods for the statewide implementation of foster care prevention services, including implementation in department regions that are transitioning to community-based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resources necessary for the department to implement community-based care and to coordinate that implementation with the implementation of foster care prevention services,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enhanced training related to procurement, contract monitoring and enforcement services, information technology services, and financial and legal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financial methodology for funding the implementation of community-based care and foster care prevention services;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resources to address the placement of children in settings eligible for federal financial participation under the requirements of Title VII, Div. E, Pub. L. No.</w:t>
      </w:r>
      <w:r>
        <w:rPr>
          <w:u w:val="single"/>
        </w:rPr>
        <w:t xml:space="preserve"> </w:t>
      </w:r>
      <w:r>
        <w:rPr>
          <w:u w:val="single"/>
        </w:rPr>
        <w:t xml:space="preserve">115-123;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methods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maximize resources from the federal government under Title VII, Div. E, Pub. L. No.</w:t>
      </w:r>
      <w:r>
        <w:rPr>
          <w:u w:val="single"/>
        </w:rPr>
        <w:t xml:space="preserve"> </w:t>
      </w:r>
      <w:r>
        <w:rPr>
          <w:u w:val="single"/>
        </w:rPr>
        <w:t xml:space="preserve">115-123;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apply for other available federal and private funds;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streamline and reduce duplication of effort by each state agency involved in providing services described by Subdivision (1);</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streamline the procedures for determining eligibility for services described by Subdivision (1);</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prescribe and terminate services described by Subdivision (1);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reduce recidivism in foster care prevention services;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include a method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notify the Senate Health and Human Services Committee, the Senate Finance Committee, the House Committee on Human Services, the House Committee on Public Health, and the House Appropriations Committee of federal and private funding opportunities;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respond to the opportunities described by Paragraph (A);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identify opportunities to coordinate with independent researchers to assist community programs in evaluating and developing trauma-informed services and promising, supported, or well-supported services and strategies under Title VII, Div. E, Pub. L. No.</w:t>
      </w:r>
      <w:r>
        <w:rPr>
          <w:u w:val="single"/>
        </w:rPr>
        <w:t xml:space="preserve"> </w:t>
      </w:r>
      <w:r>
        <w:rPr>
          <w:u w:val="single"/>
        </w:rPr>
        <w:t xml:space="preserve">115-123.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identifying the network of providers described by Subsection (b)(1), the department shall consult with the Health and Human Services Commission, the Department of State Health Services, and community stakeholders.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supersede or limit the department's duty to develop and maintain the plan under Section 264.153, Family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submit the plan developed under this section to the governor, the lieutenant governor, the speaker of the house of representatives, and each member of the standing committees of the senate and house of representatives having primary jurisdiction over child welfare issues not later than December 30, 2019.</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March 1, 2020.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355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