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15,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outdoor advertising signs regulated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391.038, Transportation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sign [</w:t>
      </w:r>
      <w:r>
        <w:rPr>
          <w:strike/>
        </w:rPr>
        <w:t xml:space="preserve">described by Subsection (a)</w:t>
      </w:r>
      <w:r>
        <w:t xml:space="preserve">] may not be higher than </w:t>
      </w:r>
      <w:r>
        <w:rPr>
          <w:u w:val="single"/>
        </w:rPr>
        <w:t xml:space="preserve">42-1/2</w:t>
      </w:r>
      <w:r>
        <w:t xml:space="preserve"> [</w:t>
      </w:r>
      <w:r>
        <w:rPr>
          <w:strike/>
        </w:rPr>
        <w:t xml:space="preserve">85</w:t>
      </w:r>
      <w:r>
        <w:t xml:space="preserve">]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main-traveled way is below grade, from the base of the sign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apply to a sign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higher than 42-1/2 feet on March 1, 2017;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an agreement with the department, is authorized to be higher than 42-1/2 feet.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391.038(a) and (c), Transportation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sign existing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