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86R1102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migrant labor housing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STUDY REGARDING MIGRANT LABOR HOUSING FACILITIES.  (a)  The Texas Department of Housing and Community Affairs shall conduct a study evaluating the quantity, quality, and availability of, and the needs associated with, migrant labor housing facilities as defined by Section 2306.921, Government Code,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September 1, 2020, the Texas Department of Housing and Community Affairs shall submit a written report to the legislature containing: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findings of the study conducted under Subsection (a) of this section;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recommendations for appropriate actions based on the findings of the study, including any necessary legislative changes;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timeline for implementing the recommendations made under Subdivision (2)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 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